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1D" w:rsidRDefault="00D362C4" w:rsidP="00D362C4">
      <w:pPr>
        <w:ind w:firstLineChars="0" w:firstLine="0"/>
        <w:jc w:val="center"/>
        <w:rPr>
          <w:rFonts w:eastAsia="宋体"/>
        </w:rPr>
      </w:pPr>
      <w:r>
        <w:rPr>
          <w:rFonts w:eastAsia="宋体"/>
          <w:noProof/>
        </w:rPr>
        <w:drawing>
          <wp:inline distT="0" distB="0" distL="0" distR="0">
            <wp:extent cx="4721890" cy="34353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ure 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2920" cy="34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80B" w:rsidRDefault="00D362C4" w:rsidP="00D362C4">
      <w:pPr>
        <w:ind w:firstLineChars="0" w:firstLine="0"/>
        <w:rPr>
          <w:rFonts w:eastAsia="宋体"/>
        </w:rPr>
      </w:pPr>
      <w:r>
        <w:rPr>
          <w:rFonts w:eastAsia="宋体"/>
          <w:b/>
          <w:bCs/>
        </w:rPr>
        <w:t>Supplementary Fig.</w:t>
      </w:r>
      <w:r w:rsidR="00040DBA">
        <w:rPr>
          <w:rFonts w:eastAsia="宋体"/>
          <w:b/>
          <w:bCs/>
        </w:rPr>
        <w:t xml:space="preserve"> 1. </w:t>
      </w:r>
      <w:r w:rsidR="00040DBA" w:rsidRPr="00D362C4">
        <w:rPr>
          <w:rFonts w:eastAsia="宋体"/>
          <w:b/>
        </w:rPr>
        <w:t>The cumulative incidence of aortic-relat</w:t>
      </w:r>
      <w:bookmarkStart w:id="0" w:name="_GoBack"/>
      <w:bookmarkEnd w:id="0"/>
      <w:r w:rsidR="00040DBA" w:rsidRPr="00D362C4">
        <w:rPr>
          <w:rFonts w:eastAsia="宋体"/>
          <w:b/>
        </w:rPr>
        <w:t xml:space="preserve">ed mortality with </w:t>
      </w:r>
      <w:proofErr w:type="spellStart"/>
      <w:r w:rsidR="00040DBA" w:rsidRPr="00D362C4">
        <w:rPr>
          <w:rFonts w:eastAsia="宋体"/>
          <w:b/>
        </w:rPr>
        <w:t>nonaorta</w:t>
      </w:r>
      <w:proofErr w:type="spellEnd"/>
      <w:r w:rsidR="00040DBA" w:rsidRPr="00D362C4">
        <w:rPr>
          <w:rFonts w:eastAsia="宋体"/>
          <w:b/>
        </w:rPr>
        <w:t>-related death as a competing risk in the matched population.</w:t>
      </w:r>
      <w:r w:rsidR="00040DBA">
        <w:rPr>
          <w:rFonts w:eastAsia="宋体"/>
        </w:rPr>
        <w:t xml:space="preserve"> The differences were assessed with Gray's test. The cumulative incidence of </w:t>
      </w:r>
      <w:r w:rsidR="00040DBA">
        <w:rPr>
          <w:rFonts w:eastAsia="宋体"/>
        </w:rPr>
        <w:t>aortic-related mortality between the two groups was similar (</w:t>
      </w:r>
      <w:r w:rsidRPr="00D362C4">
        <w:rPr>
          <w:rFonts w:eastAsia="宋体"/>
          <w:i/>
        </w:rPr>
        <w:t>p</w:t>
      </w:r>
      <w:r>
        <w:rPr>
          <w:rFonts w:eastAsia="宋体"/>
        </w:rPr>
        <w:t xml:space="preserve"> </w:t>
      </w:r>
      <w:r>
        <w:rPr>
          <w:rFonts w:eastAsia="宋体" w:hint="eastAsia"/>
        </w:rPr>
        <w:t>=</w:t>
      </w:r>
      <w:r>
        <w:rPr>
          <w:rFonts w:eastAsia="宋体"/>
        </w:rPr>
        <w:t xml:space="preserve"> </w:t>
      </w:r>
      <w:r w:rsidR="00040DBA">
        <w:rPr>
          <w:rFonts w:eastAsia="宋体"/>
        </w:rPr>
        <w:t>0.165). SRC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simple renal cyst</w:t>
      </w:r>
      <w:r w:rsidR="00040DBA">
        <w:rPr>
          <w:rFonts w:eastAsia="宋体" w:hint="eastAsia"/>
        </w:rPr>
        <w:t>s</w:t>
      </w:r>
      <w:r w:rsidR="00040DBA">
        <w:rPr>
          <w:rFonts w:eastAsia="宋体"/>
        </w:rPr>
        <w:t>.</w:t>
      </w:r>
    </w:p>
    <w:p w:rsidR="00D362C4" w:rsidRDefault="00D362C4" w:rsidP="00D362C4">
      <w:pPr>
        <w:ind w:firstLine="420"/>
        <w:rPr>
          <w:rFonts w:eastAsia="宋体"/>
        </w:rPr>
      </w:pPr>
    </w:p>
    <w:p w:rsidR="00D362C4" w:rsidRDefault="00D362C4" w:rsidP="00D362C4">
      <w:pPr>
        <w:ind w:firstLineChars="0" w:firstLine="0"/>
        <w:jc w:val="center"/>
        <w:rPr>
          <w:rFonts w:eastAsia="宋体" w:hint="eastAsia"/>
        </w:rPr>
      </w:pPr>
      <w:r>
        <w:rPr>
          <w:rFonts w:eastAsia="宋体" w:hint="eastAsia"/>
          <w:noProof/>
        </w:rPr>
        <w:drawing>
          <wp:inline distT="0" distB="0" distL="0" distR="0">
            <wp:extent cx="4695707" cy="3416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ry Figure 2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2553" cy="342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2C4" w:rsidRDefault="00D362C4" w:rsidP="00D362C4">
      <w:pPr>
        <w:ind w:firstLineChars="0" w:firstLine="0"/>
        <w:rPr>
          <w:rFonts w:eastAsia="宋体"/>
        </w:rPr>
      </w:pPr>
      <w:r w:rsidRPr="00D362C4">
        <w:rPr>
          <w:rFonts w:eastAsia="宋体"/>
          <w:b/>
          <w:bCs/>
        </w:rPr>
        <w:t>Supplementary Fig.</w:t>
      </w:r>
      <w:r w:rsidR="00040DBA" w:rsidRPr="00D362C4">
        <w:rPr>
          <w:rFonts w:eastAsia="宋体"/>
          <w:b/>
          <w:bCs/>
        </w:rPr>
        <w:t xml:space="preserve"> </w:t>
      </w:r>
      <w:r w:rsidR="00040DBA" w:rsidRPr="00D362C4">
        <w:rPr>
          <w:rFonts w:eastAsia="宋体" w:hint="eastAsia"/>
          <w:b/>
          <w:bCs/>
        </w:rPr>
        <w:t>2</w:t>
      </w:r>
      <w:r w:rsidR="00040DBA" w:rsidRPr="00D362C4">
        <w:rPr>
          <w:rFonts w:eastAsia="宋体"/>
          <w:b/>
          <w:bCs/>
        </w:rPr>
        <w:t xml:space="preserve">. </w:t>
      </w:r>
      <w:r w:rsidR="00040DBA" w:rsidRPr="00D362C4">
        <w:rPr>
          <w:rFonts w:eastAsia="宋体"/>
          <w:b/>
        </w:rPr>
        <w:t xml:space="preserve">The cumulative incidence of the </w:t>
      </w:r>
      <w:proofErr w:type="spellStart"/>
      <w:r w:rsidR="00040DBA" w:rsidRPr="00D362C4">
        <w:rPr>
          <w:rFonts w:eastAsia="宋体"/>
          <w:b/>
        </w:rPr>
        <w:t>endoleak</w:t>
      </w:r>
      <w:proofErr w:type="spellEnd"/>
      <w:r w:rsidR="00040DBA" w:rsidRPr="00D362C4">
        <w:rPr>
          <w:rFonts w:eastAsia="宋体"/>
          <w:b/>
        </w:rPr>
        <w:t xml:space="preserve"> with all-cause death as a competing risk in the matched population.</w:t>
      </w:r>
      <w:r w:rsidR="00040DBA">
        <w:rPr>
          <w:rFonts w:eastAsia="宋体"/>
        </w:rPr>
        <w:t xml:space="preserve"> The differences were assessed</w:t>
      </w:r>
      <w:r w:rsidR="00040DBA">
        <w:rPr>
          <w:rFonts w:eastAsia="宋体"/>
        </w:rPr>
        <w:t xml:space="preserve"> with Gray's test. The cumulative incidence of </w:t>
      </w:r>
      <w:proofErr w:type="spellStart"/>
      <w:r w:rsidR="00040DBA">
        <w:rPr>
          <w:rFonts w:eastAsia="宋体"/>
        </w:rPr>
        <w:t>endoleak</w:t>
      </w:r>
      <w:proofErr w:type="spellEnd"/>
      <w:r w:rsidR="00040DBA">
        <w:rPr>
          <w:rFonts w:eastAsia="宋体"/>
        </w:rPr>
        <w:t xml:space="preserve"> between the two groups was similar (</w:t>
      </w:r>
      <w:r w:rsidRPr="00D362C4">
        <w:rPr>
          <w:rFonts w:eastAsia="宋体"/>
          <w:i/>
        </w:rPr>
        <w:t>p</w:t>
      </w:r>
      <w:r>
        <w:rPr>
          <w:rFonts w:eastAsia="宋体" w:hint="eastAsia"/>
        </w:rPr>
        <w:t xml:space="preserve"> = </w:t>
      </w:r>
      <w:r w:rsidR="00040DBA">
        <w:rPr>
          <w:rFonts w:eastAsia="宋体"/>
        </w:rPr>
        <w:t>0.76). SRC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simple renal cyst</w:t>
      </w:r>
      <w:r w:rsidR="00040DBA">
        <w:rPr>
          <w:rFonts w:eastAsia="宋体" w:hint="eastAsia"/>
        </w:rPr>
        <w:t>s</w:t>
      </w:r>
      <w:r>
        <w:rPr>
          <w:rFonts w:eastAsia="宋体"/>
        </w:rPr>
        <w:t>.</w:t>
      </w:r>
    </w:p>
    <w:p w:rsidR="00D362C4" w:rsidRDefault="00D362C4" w:rsidP="00D362C4">
      <w:pPr>
        <w:ind w:firstLineChars="0" w:firstLine="0"/>
        <w:jc w:val="center"/>
        <w:rPr>
          <w:rFonts w:eastAsia="宋体"/>
        </w:rPr>
      </w:pPr>
      <w:r>
        <w:rPr>
          <w:rFonts w:eastAsia="宋体"/>
          <w:noProof/>
        </w:rPr>
        <w:lastRenderedPageBreak/>
        <w:drawing>
          <wp:inline distT="0" distB="0" distL="0" distR="0">
            <wp:extent cx="4906927" cy="3569970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lementary Figure 3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0864" cy="3572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80B" w:rsidRDefault="00D362C4" w:rsidP="00D362C4">
      <w:pPr>
        <w:ind w:firstLineChars="0" w:firstLine="0"/>
        <w:rPr>
          <w:rFonts w:eastAsia="宋体"/>
        </w:rPr>
      </w:pPr>
      <w:r>
        <w:rPr>
          <w:rFonts w:eastAsia="宋体"/>
          <w:b/>
          <w:bCs/>
        </w:rPr>
        <w:t>Supplementary Fig.</w:t>
      </w:r>
      <w:r w:rsidR="00040DBA">
        <w:rPr>
          <w:rFonts w:eastAsia="宋体"/>
          <w:b/>
          <w:bCs/>
        </w:rPr>
        <w:t xml:space="preserve"> </w:t>
      </w:r>
      <w:r w:rsidR="00040DBA">
        <w:rPr>
          <w:rFonts w:eastAsia="宋体" w:hint="eastAsia"/>
          <w:b/>
          <w:bCs/>
        </w:rPr>
        <w:t>3</w:t>
      </w:r>
      <w:r w:rsidR="00040DBA">
        <w:rPr>
          <w:rFonts w:eastAsia="宋体"/>
          <w:b/>
          <w:bCs/>
        </w:rPr>
        <w:t xml:space="preserve">. </w:t>
      </w:r>
      <w:r w:rsidR="00040DBA" w:rsidRPr="00D362C4">
        <w:rPr>
          <w:rFonts w:eastAsia="宋体"/>
          <w:b/>
        </w:rPr>
        <w:t xml:space="preserve">The cumulative incidence of the retrograde </w:t>
      </w:r>
      <w:r w:rsidR="00040DBA" w:rsidRPr="00D362C4">
        <w:rPr>
          <w:rFonts w:eastAsia="宋体" w:hint="eastAsia"/>
          <w:b/>
        </w:rPr>
        <w:t>A</w:t>
      </w:r>
      <w:r w:rsidR="00040DBA" w:rsidRPr="00D362C4">
        <w:rPr>
          <w:rFonts w:eastAsia="宋体"/>
          <w:b/>
        </w:rPr>
        <w:t xml:space="preserve">AD with all-cause death as a competing risk in the matched </w:t>
      </w:r>
      <w:r w:rsidR="00040DBA" w:rsidRPr="00D362C4">
        <w:rPr>
          <w:rFonts w:eastAsia="宋体"/>
          <w:b/>
        </w:rPr>
        <w:t xml:space="preserve">population. </w:t>
      </w:r>
      <w:r w:rsidR="00040DBA">
        <w:rPr>
          <w:rFonts w:eastAsia="宋体"/>
        </w:rPr>
        <w:t>The differences were assessed with Gray's test. The cumulative incidence of retrograde AAD between the two groups was similar (</w:t>
      </w:r>
      <w:r w:rsidRPr="00D362C4">
        <w:rPr>
          <w:rFonts w:eastAsia="宋体"/>
          <w:i/>
        </w:rPr>
        <w:t>p</w:t>
      </w:r>
      <w:r>
        <w:rPr>
          <w:rFonts w:eastAsia="宋体" w:hint="eastAsia"/>
        </w:rPr>
        <w:t xml:space="preserve"> = </w:t>
      </w:r>
      <w:r w:rsidR="00040DBA">
        <w:rPr>
          <w:rFonts w:eastAsia="宋体"/>
        </w:rPr>
        <w:t>0.611). AAD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type A aortic dissection; SRC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simple renal cyst</w:t>
      </w:r>
      <w:r w:rsidR="00040DBA">
        <w:rPr>
          <w:rFonts w:eastAsia="宋体" w:hint="eastAsia"/>
        </w:rPr>
        <w:t>s</w:t>
      </w:r>
      <w:r w:rsidR="00040DBA">
        <w:rPr>
          <w:rFonts w:eastAsia="宋体"/>
        </w:rPr>
        <w:t>.</w:t>
      </w:r>
    </w:p>
    <w:p w:rsidR="00D362C4" w:rsidRDefault="00D362C4" w:rsidP="00D362C4">
      <w:pPr>
        <w:ind w:firstLineChars="0" w:firstLine="0"/>
        <w:rPr>
          <w:rFonts w:eastAsia="宋体"/>
        </w:rPr>
      </w:pPr>
    </w:p>
    <w:p w:rsidR="00D362C4" w:rsidRDefault="00D362C4" w:rsidP="00D362C4">
      <w:pPr>
        <w:ind w:firstLineChars="0" w:firstLine="0"/>
        <w:rPr>
          <w:rFonts w:eastAsia="宋体"/>
        </w:rPr>
      </w:pPr>
    </w:p>
    <w:p w:rsidR="00D362C4" w:rsidRDefault="00D362C4" w:rsidP="00D362C4">
      <w:pPr>
        <w:ind w:firstLineChars="0" w:firstLine="0"/>
        <w:jc w:val="center"/>
        <w:rPr>
          <w:rFonts w:eastAsia="宋体"/>
        </w:rPr>
      </w:pPr>
      <w:r>
        <w:rPr>
          <w:rFonts w:eastAsia="宋体"/>
          <w:noProof/>
        </w:rPr>
        <w:drawing>
          <wp:inline distT="0" distB="0" distL="0" distR="0">
            <wp:extent cx="4507230" cy="3279176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ementary Figure 4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9605" cy="3280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2C4" w:rsidRDefault="00D362C4" w:rsidP="00D362C4">
      <w:pPr>
        <w:ind w:firstLineChars="0" w:firstLine="0"/>
        <w:jc w:val="center"/>
        <w:rPr>
          <w:rFonts w:eastAsia="宋体"/>
        </w:rPr>
      </w:pPr>
      <w:r>
        <w:rPr>
          <w:rFonts w:eastAsia="宋体"/>
          <w:b/>
          <w:bCs/>
        </w:rPr>
        <w:t>Supplementary Fig.</w:t>
      </w:r>
      <w:r w:rsidR="00040DBA">
        <w:rPr>
          <w:rFonts w:eastAsia="宋体"/>
          <w:b/>
          <w:bCs/>
        </w:rPr>
        <w:t xml:space="preserve"> </w:t>
      </w:r>
      <w:r w:rsidR="00040DBA">
        <w:rPr>
          <w:rFonts w:eastAsia="宋体" w:hint="eastAsia"/>
          <w:b/>
          <w:bCs/>
        </w:rPr>
        <w:t>4</w:t>
      </w:r>
      <w:r w:rsidR="00040DBA">
        <w:rPr>
          <w:rFonts w:eastAsia="宋体"/>
          <w:b/>
          <w:bCs/>
        </w:rPr>
        <w:t>.</w:t>
      </w:r>
      <w:r w:rsidR="00040DBA">
        <w:rPr>
          <w:rFonts w:eastAsia="宋体"/>
        </w:rPr>
        <w:t xml:space="preserve"> </w:t>
      </w:r>
      <w:r w:rsidR="00040DBA" w:rsidRPr="00D362C4">
        <w:rPr>
          <w:rFonts w:eastAsia="宋体"/>
          <w:b/>
        </w:rPr>
        <w:t xml:space="preserve">The cumulative incidence of the new dissection with </w:t>
      </w:r>
      <w:proofErr w:type="spellStart"/>
      <w:r w:rsidR="00040DBA" w:rsidRPr="00D362C4">
        <w:rPr>
          <w:rFonts w:eastAsia="宋体"/>
          <w:b/>
        </w:rPr>
        <w:t>nonaorta</w:t>
      </w:r>
      <w:proofErr w:type="spellEnd"/>
      <w:r w:rsidR="00040DBA" w:rsidRPr="00D362C4">
        <w:rPr>
          <w:rFonts w:eastAsia="宋体"/>
          <w:b/>
        </w:rPr>
        <w:t>-related death as a competing risk in the matched population.</w:t>
      </w:r>
      <w:r w:rsidR="00040DBA">
        <w:rPr>
          <w:rFonts w:eastAsia="宋体"/>
        </w:rPr>
        <w:t xml:space="preserve"> The differences were assessed with Gray's test. The cumulative incidence of aortic-related mortality between the two groups was simil</w:t>
      </w:r>
      <w:r w:rsidR="00040DBA">
        <w:rPr>
          <w:rFonts w:eastAsia="宋体"/>
        </w:rPr>
        <w:t>ar (</w:t>
      </w:r>
      <w:r w:rsidRPr="00D362C4">
        <w:rPr>
          <w:rFonts w:eastAsia="宋体"/>
          <w:i/>
        </w:rPr>
        <w:t>p</w:t>
      </w:r>
      <w:r>
        <w:rPr>
          <w:rFonts w:eastAsia="宋体" w:hint="eastAsia"/>
        </w:rPr>
        <w:t xml:space="preserve"> = </w:t>
      </w:r>
      <w:r w:rsidR="00040DBA">
        <w:rPr>
          <w:rFonts w:eastAsia="宋体"/>
        </w:rPr>
        <w:t>0.943). SRC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simple renal cyst</w:t>
      </w:r>
      <w:r w:rsidR="00040DBA">
        <w:rPr>
          <w:rFonts w:eastAsia="宋体" w:hint="eastAsia"/>
        </w:rPr>
        <w:t>s</w:t>
      </w:r>
      <w:r w:rsidR="00040DBA">
        <w:rPr>
          <w:rFonts w:eastAsia="宋体"/>
        </w:rPr>
        <w:t>.</w:t>
      </w:r>
      <w:r>
        <w:rPr>
          <w:rFonts w:eastAsia="宋体"/>
          <w:noProof/>
        </w:rPr>
        <w:lastRenderedPageBreak/>
        <w:drawing>
          <wp:inline distT="0" distB="0" distL="0" distR="0">
            <wp:extent cx="4906927" cy="3569970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pplementary Figure 5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3001" cy="3574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2C4" w:rsidRDefault="00D362C4" w:rsidP="00D362C4">
      <w:pPr>
        <w:ind w:firstLineChars="0" w:firstLine="0"/>
        <w:rPr>
          <w:rFonts w:eastAsia="宋体"/>
        </w:rPr>
      </w:pPr>
      <w:r>
        <w:rPr>
          <w:rFonts w:eastAsia="宋体"/>
          <w:b/>
          <w:bCs/>
        </w:rPr>
        <w:t>Supplementary Fig.</w:t>
      </w:r>
      <w:r w:rsidR="00040DBA">
        <w:rPr>
          <w:rFonts w:eastAsia="宋体"/>
          <w:b/>
          <w:bCs/>
        </w:rPr>
        <w:t xml:space="preserve"> </w:t>
      </w:r>
      <w:r w:rsidR="00040DBA">
        <w:rPr>
          <w:rFonts w:eastAsia="宋体" w:hint="eastAsia"/>
          <w:b/>
          <w:bCs/>
        </w:rPr>
        <w:t>5</w:t>
      </w:r>
      <w:r w:rsidR="00040DBA">
        <w:rPr>
          <w:rFonts w:eastAsia="宋体"/>
          <w:b/>
          <w:bCs/>
        </w:rPr>
        <w:t xml:space="preserve">. </w:t>
      </w:r>
      <w:r w:rsidR="00040DBA" w:rsidRPr="00D362C4">
        <w:rPr>
          <w:rFonts w:eastAsia="宋体"/>
          <w:b/>
        </w:rPr>
        <w:t>Kaplan-Meier survival analysis of all-cause mortality in the matched population.</w:t>
      </w:r>
      <w:r w:rsidR="00040DBA">
        <w:rPr>
          <w:rFonts w:eastAsia="宋体"/>
        </w:rPr>
        <w:t xml:space="preserve"> The difference between the SRC and non-SRC groups was assessed with </w:t>
      </w:r>
      <w:r w:rsidR="00040DBA">
        <w:rPr>
          <w:rFonts w:eastAsia="宋体" w:hint="eastAsia"/>
        </w:rPr>
        <w:t xml:space="preserve">the </w:t>
      </w:r>
      <w:r w:rsidR="00040DBA">
        <w:rPr>
          <w:rFonts w:eastAsia="宋体"/>
        </w:rPr>
        <w:t xml:space="preserve">log-rank test. Freedom from all-cause </w:t>
      </w:r>
      <w:r w:rsidR="00040DBA">
        <w:rPr>
          <w:rFonts w:eastAsia="宋体"/>
        </w:rPr>
        <w:t>mortality in the SRC group was similar to that of the non-SRC group (</w:t>
      </w:r>
      <w:r w:rsidRPr="00D362C4">
        <w:rPr>
          <w:rFonts w:eastAsia="宋体"/>
          <w:i/>
        </w:rPr>
        <w:t>p</w:t>
      </w:r>
      <w:r>
        <w:rPr>
          <w:rFonts w:eastAsia="宋体" w:hint="eastAsia"/>
        </w:rPr>
        <w:t xml:space="preserve"> = </w:t>
      </w:r>
      <w:r w:rsidR="00040DBA">
        <w:rPr>
          <w:rFonts w:eastAsia="宋体"/>
        </w:rPr>
        <w:t>0.652). SRC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simple renal cyst</w:t>
      </w:r>
      <w:r w:rsidR="00040DBA">
        <w:rPr>
          <w:rFonts w:eastAsia="宋体" w:hint="eastAsia"/>
        </w:rPr>
        <w:t>s</w:t>
      </w:r>
      <w:r w:rsidR="00040DBA">
        <w:rPr>
          <w:rFonts w:eastAsia="宋体"/>
        </w:rPr>
        <w:t>.</w:t>
      </w:r>
    </w:p>
    <w:p w:rsidR="00D362C4" w:rsidRDefault="00D362C4" w:rsidP="00D362C4">
      <w:pPr>
        <w:ind w:firstLineChars="0" w:firstLine="0"/>
        <w:rPr>
          <w:rFonts w:eastAsia="宋体"/>
        </w:rPr>
      </w:pPr>
    </w:p>
    <w:p w:rsidR="00D362C4" w:rsidRDefault="00D362C4" w:rsidP="00D362C4">
      <w:pPr>
        <w:ind w:firstLineChars="0" w:firstLine="0"/>
        <w:jc w:val="center"/>
        <w:rPr>
          <w:rFonts w:eastAsia="宋体"/>
        </w:rPr>
      </w:pPr>
      <w:r>
        <w:rPr>
          <w:rFonts w:eastAsia="宋体"/>
          <w:noProof/>
        </w:rPr>
        <w:drawing>
          <wp:inline distT="0" distB="0" distL="0" distR="0">
            <wp:extent cx="4959350" cy="3608109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upplementary Figure 6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203" cy="36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80B" w:rsidRDefault="00D362C4" w:rsidP="00D362C4">
      <w:pPr>
        <w:ind w:firstLineChars="0" w:firstLine="0"/>
        <w:rPr>
          <w:rFonts w:eastAsia="宋体"/>
        </w:rPr>
      </w:pPr>
      <w:r>
        <w:rPr>
          <w:rFonts w:eastAsia="宋体"/>
          <w:b/>
          <w:bCs/>
        </w:rPr>
        <w:t>Supplementary Fig.</w:t>
      </w:r>
      <w:r w:rsidR="00040DBA">
        <w:rPr>
          <w:rFonts w:eastAsia="宋体"/>
          <w:b/>
          <w:bCs/>
        </w:rPr>
        <w:t xml:space="preserve"> </w:t>
      </w:r>
      <w:r w:rsidR="00040DBA">
        <w:rPr>
          <w:rFonts w:eastAsia="宋体" w:hint="eastAsia"/>
          <w:b/>
          <w:bCs/>
        </w:rPr>
        <w:t>6</w:t>
      </w:r>
      <w:r w:rsidR="00040DBA">
        <w:rPr>
          <w:rFonts w:eastAsia="宋体"/>
          <w:b/>
          <w:bCs/>
        </w:rPr>
        <w:t xml:space="preserve">. </w:t>
      </w:r>
      <w:r w:rsidR="00040DBA" w:rsidRPr="00D362C4">
        <w:rPr>
          <w:rFonts w:eastAsia="宋体"/>
          <w:b/>
        </w:rPr>
        <w:t xml:space="preserve">Kaplan-Meier survival analysis of cardiovascular events in the matched population. </w:t>
      </w:r>
      <w:r w:rsidR="00040DBA">
        <w:rPr>
          <w:rFonts w:eastAsia="宋体"/>
        </w:rPr>
        <w:t>The difference between the SRC and non-SRC grou</w:t>
      </w:r>
      <w:r w:rsidR="00040DBA">
        <w:rPr>
          <w:rFonts w:eastAsia="宋体"/>
        </w:rPr>
        <w:t>ps was assessed with the log-rank test. Freedom from cardiovascular events in the SRC group was similar to that of the non-SRC group (</w:t>
      </w:r>
      <w:r w:rsidRPr="00D362C4">
        <w:rPr>
          <w:rFonts w:eastAsia="宋体"/>
          <w:i/>
        </w:rPr>
        <w:t>p</w:t>
      </w:r>
      <w:r>
        <w:rPr>
          <w:rFonts w:eastAsia="宋体" w:hint="eastAsia"/>
        </w:rPr>
        <w:t xml:space="preserve"> = </w:t>
      </w:r>
      <w:r w:rsidR="00040DBA">
        <w:rPr>
          <w:rFonts w:eastAsia="宋体"/>
        </w:rPr>
        <w:t>0.862). SRC</w:t>
      </w:r>
      <w:r>
        <w:rPr>
          <w:rFonts w:eastAsia="宋体"/>
        </w:rPr>
        <w:t xml:space="preserve">, </w:t>
      </w:r>
      <w:r w:rsidR="00040DBA">
        <w:rPr>
          <w:rFonts w:eastAsia="宋体"/>
        </w:rPr>
        <w:t>simple renal cyst</w:t>
      </w:r>
      <w:r w:rsidR="00040DBA">
        <w:rPr>
          <w:rFonts w:eastAsia="宋体" w:hint="eastAsia"/>
        </w:rPr>
        <w:t>s</w:t>
      </w:r>
      <w:r w:rsidR="00040DBA">
        <w:rPr>
          <w:rFonts w:eastAsia="宋体"/>
        </w:rPr>
        <w:t>.</w:t>
      </w:r>
    </w:p>
    <w:sectPr w:rsidR="00C1780B" w:rsidSect="00C75E1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1134" w:bottom="851" w:left="1134" w:header="283" w:footer="1134" w:gutter="0"/>
      <w:cols w:space="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DBA" w:rsidRDefault="00040DBA">
      <w:pPr>
        <w:ind w:firstLine="420"/>
      </w:pPr>
      <w:r>
        <w:separator/>
      </w:r>
    </w:p>
  </w:endnote>
  <w:endnote w:type="continuationSeparator" w:id="0">
    <w:p w:rsidR="00040DBA" w:rsidRDefault="00040DB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altName w:val="Times New Roman"/>
    <w:panose1 w:val="01010103010101010101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1D" w:rsidRDefault="00C75E1D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1D" w:rsidRPr="00C75E1D" w:rsidRDefault="00C75E1D" w:rsidP="00C75E1D">
    <w:pPr>
      <w:pStyle w:val="a7"/>
      <w:ind w:firstLineChars="0" w:firstLine="0"/>
      <w:rPr>
        <w:rFonts w:eastAsiaTheme="minorEastAsia"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1D" w:rsidRDefault="00C75E1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DBA" w:rsidRDefault="00040DBA">
      <w:pPr>
        <w:ind w:firstLine="420"/>
      </w:pPr>
      <w:r>
        <w:separator/>
      </w:r>
    </w:p>
  </w:footnote>
  <w:footnote w:type="continuationSeparator" w:id="0">
    <w:p w:rsidR="00040DBA" w:rsidRDefault="00040DB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1D" w:rsidRDefault="00C75E1D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80B" w:rsidRPr="00C75E1D" w:rsidRDefault="00C1780B" w:rsidP="00C75E1D">
    <w:pPr>
      <w:ind w:firstLineChars="0" w:firstLine="0"/>
      <w:rPr>
        <w:rFonts w:eastAsiaTheme="minorEastAsia"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E1D" w:rsidRDefault="00C75E1D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2F6EF512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HorizontalSpacing w:val="105"/>
  <w:drawingGridVerticalSpacing w:val="317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MDYwsDA0NzKysDBQ0lEKTi0uzszPAykwrgUAEKfqFSwAAAA="/>
  </w:docVars>
  <w:rsids>
    <w:rsidRoot w:val="00DE0318"/>
    <w:rsid w:val="000249E6"/>
    <w:rsid w:val="000353C2"/>
    <w:rsid w:val="000372D4"/>
    <w:rsid w:val="00040DBA"/>
    <w:rsid w:val="00057CC8"/>
    <w:rsid w:val="00085A91"/>
    <w:rsid w:val="000C0727"/>
    <w:rsid w:val="00116905"/>
    <w:rsid w:val="00144BF7"/>
    <w:rsid w:val="00150879"/>
    <w:rsid w:val="0016700C"/>
    <w:rsid w:val="00172A27"/>
    <w:rsid w:val="00173C07"/>
    <w:rsid w:val="001742A0"/>
    <w:rsid w:val="00186631"/>
    <w:rsid w:val="00186C16"/>
    <w:rsid w:val="001A3EC7"/>
    <w:rsid w:val="001B52F8"/>
    <w:rsid w:val="001E2C71"/>
    <w:rsid w:val="001F2631"/>
    <w:rsid w:val="00211BFA"/>
    <w:rsid w:val="00226D23"/>
    <w:rsid w:val="0028085F"/>
    <w:rsid w:val="002838FB"/>
    <w:rsid w:val="002D57F1"/>
    <w:rsid w:val="002E3C65"/>
    <w:rsid w:val="002F1AA7"/>
    <w:rsid w:val="00306D4C"/>
    <w:rsid w:val="003177BB"/>
    <w:rsid w:val="00321ECB"/>
    <w:rsid w:val="003245F3"/>
    <w:rsid w:val="00344C63"/>
    <w:rsid w:val="003509CF"/>
    <w:rsid w:val="00373FD2"/>
    <w:rsid w:val="00393CE6"/>
    <w:rsid w:val="0039473A"/>
    <w:rsid w:val="003D74A9"/>
    <w:rsid w:val="003E7A69"/>
    <w:rsid w:val="00415F30"/>
    <w:rsid w:val="004303B9"/>
    <w:rsid w:val="00432B3B"/>
    <w:rsid w:val="00433C2D"/>
    <w:rsid w:val="0046151D"/>
    <w:rsid w:val="00466707"/>
    <w:rsid w:val="004843C4"/>
    <w:rsid w:val="00495EA4"/>
    <w:rsid w:val="004A371E"/>
    <w:rsid w:val="004A5443"/>
    <w:rsid w:val="004B0052"/>
    <w:rsid w:val="004C5994"/>
    <w:rsid w:val="004D1B40"/>
    <w:rsid w:val="004E4E39"/>
    <w:rsid w:val="004E73C8"/>
    <w:rsid w:val="0051193E"/>
    <w:rsid w:val="00526643"/>
    <w:rsid w:val="005353AE"/>
    <w:rsid w:val="005465D9"/>
    <w:rsid w:val="0055346C"/>
    <w:rsid w:val="005602EF"/>
    <w:rsid w:val="00596851"/>
    <w:rsid w:val="005A11CB"/>
    <w:rsid w:val="005C786E"/>
    <w:rsid w:val="005D066B"/>
    <w:rsid w:val="005D2965"/>
    <w:rsid w:val="0060081B"/>
    <w:rsid w:val="00610CDB"/>
    <w:rsid w:val="00613F1C"/>
    <w:rsid w:val="00627030"/>
    <w:rsid w:val="00635300"/>
    <w:rsid w:val="006445A4"/>
    <w:rsid w:val="00644E3F"/>
    <w:rsid w:val="00652EC9"/>
    <w:rsid w:val="00653E75"/>
    <w:rsid w:val="006573E3"/>
    <w:rsid w:val="006617ED"/>
    <w:rsid w:val="0066728D"/>
    <w:rsid w:val="0067662B"/>
    <w:rsid w:val="00684596"/>
    <w:rsid w:val="00687812"/>
    <w:rsid w:val="006D0D6A"/>
    <w:rsid w:val="006F256C"/>
    <w:rsid w:val="006F293B"/>
    <w:rsid w:val="006F7C88"/>
    <w:rsid w:val="00714B13"/>
    <w:rsid w:val="00766208"/>
    <w:rsid w:val="007824CA"/>
    <w:rsid w:val="007825DE"/>
    <w:rsid w:val="007940ED"/>
    <w:rsid w:val="00794CEF"/>
    <w:rsid w:val="007A4656"/>
    <w:rsid w:val="007B2E77"/>
    <w:rsid w:val="007C48C0"/>
    <w:rsid w:val="007F1800"/>
    <w:rsid w:val="007F2FA7"/>
    <w:rsid w:val="007F5830"/>
    <w:rsid w:val="008038B1"/>
    <w:rsid w:val="00830164"/>
    <w:rsid w:val="00845618"/>
    <w:rsid w:val="00885829"/>
    <w:rsid w:val="008859FB"/>
    <w:rsid w:val="00885B26"/>
    <w:rsid w:val="00895AB8"/>
    <w:rsid w:val="008B2444"/>
    <w:rsid w:val="008C15D6"/>
    <w:rsid w:val="008D6A4D"/>
    <w:rsid w:val="009378E0"/>
    <w:rsid w:val="00940059"/>
    <w:rsid w:val="009431FE"/>
    <w:rsid w:val="00954CE2"/>
    <w:rsid w:val="009608C9"/>
    <w:rsid w:val="009B62B3"/>
    <w:rsid w:val="009C1870"/>
    <w:rsid w:val="009C6A11"/>
    <w:rsid w:val="009C6EEF"/>
    <w:rsid w:val="009D16E1"/>
    <w:rsid w:val="009E17F1"/>
    <w:rsid w:val="009F0895"/>
    <w:rsid w:val="00A124C5"/>
    <w:rsid w:val="00A22300"/>
    <w:rsid w:val="00A3443F"/>
    <w:rsid w:val="00A361C1"/>
    <w:rsid w:val="00A53F1D"/>
    <w:rsid w:val="00A8751A"/>
    <w:rsid w:val="00AB4165"/>
    <w:rsid w:val="00AB6D22"/>
    <w:rsid w:val="00AB73C0"/>
    <w:rsid w:val="00AC4DDB"/>
    <w:rsid w:val="00AD2496"/>
    <w:rsid w:val="00B3204D"/>
    <w:rsid w:val="00B358CA"/>
    <w:rsid w:val="00B84D28"/>
    <w:rsid w:val="00B9445B"/>
    <w:rsid w:val="00BA1AC6"/>
    <w:rsid w:val="00BE43FF"/>
    <w:rsid w:val="00BE5BD7"/>
    <w:rsid w:val="00BF22A6"/>
    <w:rsid w:val="00BF3107"/>
    <w:rsid w:val="00C03891"/>
    <w:rsid w:val="00C15761"/>
    <w:rsid w:val="00C1780B"/>
    <w:rsid w:val="00C17A88"/>
    <w:rsid w:val="00C32EF4"/>
    <w:rsid w:val="00C626D1"/>
    <w:rsid w:val="00C72D28"/>
    <w:rsid w:val="00C75E1D"/>
    <w:rsid w:val="00C77EB1"/>
    <w:rsid w:val="00C85502"/>
    <w:rsid w:val="00C857F1"/>
    <w:rsid w:val="00C8754C"/>
    <w:rsid w:val="00CA0693"/>
    <w:rsid w:val="00CB2CAF"/>
    <w:rsid w:val="00CC10BF"/>
    <w:rsid w:val="00CC7E99"/>
    <w:rsid w:val="00CD43AE"/>
    <w:rsid w:val="00CE0AF4"/>
    <w:rsid w:val="00CE3915"/>
    <w:rsid w:val="00CF0367"/>
    <w:rsid w:val="00D0067A"/>
    <w:rsid w:val="00D07E0D"/>
    <w:rsid w:val="00D211E8"/>
    <w:rsid w:val="00D25BF9"/>
    <w:rsid w:val="00D30935"/>
    <w:rsid w:val="00D34F90"/>
    <w:rsid w:val="00D362C4"/>
    <w:rsid w:val="00D37A29"/>
    <w:rsid w:val="00DA0B29"/>
    <w:rsid w:val="00DA0FAC"/>
    <w:rsid w:val="00DB39EC"/>
    <w:rsid w:val="00DC2668"/>
    <w:rsid w:val="00DC6B1D"/>
    <w:rsid w:val="00DD2599"/>
    <w:rsid w:val="00DD5FA2"/>
    <w:rsid w:val="00DD7CCE"/>
    <w:rsid w:val="00DE0318"/>
    <w:rsid w:val="00E0310B"/>
    <w:rsid w:val="00E0489E"/>
    <w:rsid w:val="00E30FA9"/>
    <w:rsid w:val="00E3739E"/>
    <w:rsid w:val="00E95FC3"/>
    <w:rsid w:val="00EB2625"/>
    <w:rsid w:val="00EB6B4A"/>
    <w:rsid w:val="00EE3B19"/>
    <w:rsid w:val="00EE5045"/>
    <w:rsid w:val="00F20D78"/>
    <w:rsid w:val="00F22520"/>
    <w:rsid w:val="00F32166"/>
    <w:rsid w:val="00F35D37"/>
    <w:rsid w:val="00F9042D"/>
    <w:rsid w:val="00FA6576"/>
    <w:rsid w:val="00FB101D"/>
    <w:rsid w:val="00FB272B"/>
    <w:rsid w:val="00FC1622"/>
    <w:rsid w:val="00FC2D1B"/>
    <w:rsid w:val="00FF032A"/>
    <w:rsid w:val="01E11AA8"/>
    <w:rsid w:val="044E12D7"/>
    <w:rsid w:val="05D41EEC"/>
    <w:rsid w:val="06743C9F"/>
    <w:rsid w:val="084056D6"/>
    <w:rsid w:val="085C0572"/>
    <w:rsid w:val="0893796F"/>
    <w:rsid w:val="08D24E54"/>
    <w:rsid w:val="09F90DAF"/>
    <w:rsid w:val="0B5E463D"/>
    <w:rsid w:val="0C355CB1"/>
    <w:rsid w:val="0CFE2386"/>
    <w:rsid w:val="0DE4393A"/>
    <w:rsid w:val="0F540C50"/>
    <w:rsid w:val="101A624A"/>
    <w:rsid w:val="108C2FE4"/>
    <w:rsid w:val="11C75A87"/>
    <w:rsid w:val="11CE30DA"/>
    <w:rsid w:val="11D94ADC"/>
    <w:rsid w:val="12F34EC3"/>
    <w:rsid w:val="133C0608"/>
    <w:rsid w:val="15794CB1"/>
    <w:rsid w:val="16E55459"/>
    <w:rsid w:val="19FD1169"/>
    <w:rsid w:val="1A342F21"/>
    <w:rsid w:val="1B9B7106"/>
    <w:rsid w:val="1CF42C09"/>
    <w:rsid w:val="1F40544E"/>
    <w:rsid w:val="1FD5520B"/>
    <w:rsid w:val="20BF244B"/>
    <w:rsid w:val="228B1AAB"/>
    <w:rsid w:val="239A594C"/>
    <w:rsid w:val="245F53DB"/>
    <w:rsid w:val="24D44920"/>
    <w:rsid w:val="260C176B"/>
    <w:rsid w:val="2628181A"/>
    <w:rsid w:val="299C1824"/>
    <w:rsid w:val="2A9C630D"/>
    <w:rsid w:val="2BBB3F1C"/>
    <w:rsid w:val="2D067C97"/>
    <w:rsid w:val="2DCF72F8"/>
    <w:rsid w:val="2E88132F"/>
    <w:rsid w:val="2F266644"/>
    <w:rsid w:val="30932D08"/>
    <w:rsid w:val="33B80108"/>
    <w:rsid w:val="34A31F5F"/>
    <w:rsid w:val="36766337"/>
    <w:rsid w:val="36FB38A8"/>
    <w:rsid w:val="37360BBF"/>
    <w:rsid w:val="3769448D"/>
    <w:rsid w:val="39D67BFA"/>
    <w:rsid w:val="39EA6529"/>
    <w:rsid w:val="3B6F33D8"/>
    <w:rsid w:val="3D0A7D29"/>
    <w:rsid w:val="3D806420"/>
    <w:rsid w:val="3D8A41E7"/>
    <w:rsid w:val="3F723D75"/>
    <w:rsid w:val="400D3127"/>
    <w:rsid w:val="41EA79AB"/>
    <w:rsid w:val="420958BA"/>
    <w:rsid w:val="441B79B9"/>
    <w:rsid w:val="44260A48"/>
    <w:rsid w:val="446F2ECB"/>
    <w:rsid w:val="44B66FBC"/>
    <w:rsid w:val="450909FF"/>
    <w:rsid w:val="45260D10"/>
    <w:rsid w:val="459A04A4"/>
    <w:rsid w:val="48677295"/>
    <w:rsid w:val="498D206B"/>
    <w:rsid w:val="49F90D92"/>
    <w:rsid w:val="4BF95BBA"/>
    <w:rsid w:val="4EBC3B90"/>
    <w:rsid w:val="4F613C8F"/>
    <w:rsid w:val="504708EF"/>
    <w:rsid w:val="528D0EFC"/>
    <w:rsid w:val="54BF4ABB"/>
    <w:rsid w:val="55BF5209"/>
    <w:rsid w:val="56532937"/>
    <w:rsid w:val="56E557E8"/>
    <w:rsid w:val="57232101"/>
    <w:rsid w:val="57A966D0"/>
    <w:rsid w:val="58005FA9"/>
    <w:rsid w:val="589255B9"/>
    <w:rsid w:val="5955194E"/>
    <w:rsid w:val="5A844C26"/>
    <w:rsid w:val="5B024F63"/>
    <w:rsid w:val="5B0801E4"/>
    <w:rsid w:val="5C0B2B5F"/>
    <w:rsid w:val="5DE32983"/>
    <w:rsid w:val="5E49438C"/>
    <w:rsid w:val="5EB2565B"/>
    <w:rsid w:val="5F037FD5"/>
    <w:rsid w:val="5F3A268B"/>
    <w:rsid w:val="606830C2"/>
    <w:rsid w:val="60835A4A"/>
    <w:rsid w:val="60912878"/>
    <w:rsid w:val="60BC5DA5"/>
    <w:rsid w:val="60D003E4"/>
    <w:rsid w:val="622A3C94"/>
    <w:rsid w:val="63C11FFF"/>
    <w:rsid w:val="648F29F1"/>
    <w:rsid w:val="649D0258"/>
    <w:rsid w:val="65290F2A"/>
    <w:rsid w:val="65FB5B91"/>
    <w:rsid w:val="65FE5B01"/>
    <w:rsid w:val="674E73AA"/>
    <w:rsid w:val="699A08D9"/>
    <w:rsid w:val="69D318C9"/>
    <w:rsid w:val="6C534340"/>
    <w:rsid w:val="6C9D11AF"/>
    <w:rsid w:val="6E7244B6"/>
    <w:rsid w:val="6EA6211A"/>
    <w:rsid w:val="6F0178DB"/>
    <w:rsid w:val="6FB85149"/>
    <w:rsid w:val="71F74CDB"/>
    <w:rsid w:val="731E4A08"/>
    <w:rsid w:val="73B4165C"/>
    <w:rsid w:val="73E3492B"/>
    <w:rsid w:val="74A00A8E"/>
    <w:rsid w:val="74A239E1"/>
    <w:rsid w:val="7601765D"/>
    <w:rsid w:val="76104B77"/>
    <w:rsid w:val="76406E48"/>
    <w:rsid w:val="79C6549F"/>
    <w:rsid w:val="7A2A6639"/>
    <w:rsid w:val="7C574459"/>
    <w:rsid w:val="7C9C3CBF"/>
    <w:rsid w:val="7E5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292F71"/>
  <w15:docId w15:val="{333D2DBB-CCCC-4A0E-865B-DA2EB2B1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qFormat="1"/>
    <w:lsdException w:name="line number" w:uiPriority="99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E1D"/>
    <w:pPr>
      <w:widowControl w:val="0"/>
      <w:ind w:firstLineChars="200" w:firstLine="200"/>
      <w:jc w:val="both"/>
    </w:pPr>
    <w:rPr>
      <w:rFonts w:eastAsia="Times New Roman"/>
      <w:kern w:val="2"/>
      <w:sz w:val="21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C75E1D"/>
    <w:pPr>
      <w:autoSpaceDE w:val="0"/>
      <w:autoSpaceDN w:val="0"/>
      <w:adjustRightInd w:val="0"/>
      <w:spacing w:beforeLines="100" w:before="312" w:afterLines="100" w:after="312"/>
      <w:ind w:left="431" w:firstLineChars="0" w:hanging="431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C75E1D"/>
    <w:pPr>
      <w:keepNext/>
      <w:keepLines/>
      <w:spacing w:beforeLines="50" w:before="156" w:afterLines="50" w:after="156"/>
      <w:ind w:left="578" w:firstLineChars="0" w:hanging="578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C75E1D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C75E1D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5E1D"/>
    <w:pPr>
      <w:keepNext/>
      <w:keepLines/>
      <w:numPr>
        <w:ilvl w:val="5"/>
        <w:numId w:val="4"/>
      </w:numPr>
      <w:spacing w:before="240" w:after="64" w:line="320" w:lineRule="auto"/>
      <w:ind w:firstLineChars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5E1D"/>
    <w:pPr>
      <w:keepNext/>
      <w:keepLines/>
      <w:numPr>
        <w:ilvl w:val="6"/>
        <w:numId w:val="4"/>
      </w:numPr>
      <w:spacing w:before="240" w:after="64" w:line="320" w:lineRule="auto"/>
      <w:ind w:firstLineChars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E1D"/>
    <w:pPr>
      <w:keepNext/>
      <w:keepLines/>
      <w:numPr>
        <w:ilvl w:val="7"/>
        <w:numId w:val="4"/>
      </w:numPr>
      <w:spacing w:before="240" w:after="64" w:line="320" w:lineRule="auto"/>
      <w:ind w:firstLineChars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5E1D"/>
    <w:pPr>
      <w:keepNext/>
      <w:keepLines/>
      <w:numPr>
        <w:ilvl w:val="8"/>
        <w:numId w:val="4"/>
      </w:numPr>
      <w:spacing w:before="240" w:after="64" w:line="320" w:lineRule="auto"/>
      <w:ind w:firstLineChars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  <w:rsid w:val="00C75E1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75E1D"/>
  </w:style>
  <w:style w:type="paragraph" w:styleId="a3">
    <w:name w:val="annotation text"/>
    <w:basedOn w:val="a"/>
    <w:link w:val="a4"/>
    <w:uiPriority w:val="99"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C75E1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5E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75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Emphasis"/>
    <w:basedOn w:val="a0"/>
    <w:qFormat/>
    <w:rPr>
      <w:i/>
    </w:rPr>
  </w:style>
  <w:style w:type="character" w:styleId="ae">
    <w:name w:val="line number"/>
    <w:uiPriority w:val="99"/>
    <w:unhideWhenUsed/>
    <w:rsid w:val="00C75E1D"/>
  </w:style>
  <w:style w:type="character" w:styleId="af">
    <w:name w:val="Hyperlink"/>
    <w:uiPriority w:val="99"/>
    <w:unhideWhenUsed/>
    <w:rsid w:val="00C75E1D"/>
    <w:rPr>
      <w:color w:val="0563C1"/>
      <w:u w:val="single"/>
    </w:rPr>
  </w:style>
  <w:style w:type="character" w:styleId="af0">
    <w:name w:val="annotation reference"/>
    <w:basedOn w:val="a0"/>
    <w:qFormat/>
    <w:rPr>
      <w:sz w:val="16"/>
      <w:szCs w:val="16"/>
    </w:rPr>
  </w:style>
  <w:style w:type="character" w:customStyle="1" w:styleId="a6">
    <w:name w:val="批注框文本 字符"/>
    <w:basedOn w:val="a0"/>
    <w:link w:val="a5"/>
    <w:uiPriority w:val="99"/>
    <w:rsid w:val="00C75E1D"/>
    <w:rPr>
      <w:rFonts w:eastAsia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75E1D"/>
    <w:rPr>
      <w:rFonts w:eastAsia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5E1D"/>
    <w:rPr>
      <w:rFonts w:eastAsia="Times New Roman"/>
      <w:kern w:val="2"/>
      <w:sz w:val="18"/>
      <w:szCs w:val="18"/>
    </w:rPr>
  </w:style>
  <w:style w:type="paragraph" w:customStyle="1" w:styleId="11">
    <w:name w:val="书目1"/>
    <w:basedOn w:val="a"/>
    <w:next w:val="a"/>
    <w:uiPriority w:val="37"/>
    <w:unhideWhenUsed/>
    <w:qFormat/>
    <w:pPr>
      <w:tabs>
        <w:tab w:val="left" w:pos="264"/>
      </w:tabs>
      <w:spacing w:after="240"/>
      <w:ind w:left="264" w:hanging="264"/>
    </w:pPr>
  </w:style>
  <w:style w:type="character" w:customStyle="1" w:styleId="30">
    <w:name w:val="标题 3 字符"/>
    <w:aliases w:val="三级标题 字符"/>
    <w:link w:val="3"/>
    <w:uiPriority w:val="9"/>
    <w:rsid w:val="00C75E1D"/>
    <w:rPr>
      <w:rFonts w:eastAsia="Times New Roman"/>
      <w:bCs/>
      <w:i/>
      <w:kern w:val="2"/>
      <w:sz w:val="22"/>
      <w:szCs w:val="32"/>
    </w:rPr>
  </w:style>
  <w:style w:type="paragraph" w:customStyle="1" w:styleId="ListParagraph1">
    <w:name w:val="List Paragraph1"/>
    <w:basedOn w:val="a"/>
    <w:uiPriority w:val="99"/>
    <w:qFormat/>
    <w:pPr>
      <w:ind w:firstLine="420"/>
    </w:pPr>
  </w:style>
  <w:style w:type="paragraph" w:styleId="af1">
    <w:name w:val="List Paragraph"/>
    <w:basedOn w:val="a"/>
    <w:uiPriority w:val="1"/>
    <w:qFormat/>
    <w:rsid w:val="00C75E1D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</w:rPr>
  </w:style>
  <w:style w:type="paragraph" w:customStyle="1" w:styleId="21">
    <w:name w:val="书目2"/>
    <w:basedOn w:val="a"/>
    <w:next w:val="a"/>
    <w:uiPriority w:val="37"/>
    <w:unhideWhenUsed/>
    <w:qFormat/>
  </w:style>
  <w:style w:type="paragraph" w:customStyle="1" w:styleId="Abstract">
    <w:name w:val="Abstract"/>
    <w:basedOn w:val="a"/>
    <w:autoRedefine/>
    <w:qFormat/>
    <w:rsid w:val="00C75E1D"/>
    <w:pPr>
      <w:ind w:firstLineChars="0" w:firstLine="0"/>
    </w:pPr>
    <w:rPr>
      <w:b/>
      <w:noProof/>
      <w:sz w:val="24"/>
      <w:szCs w:val="24"/>
    </w:rPr>
  </w:style>
  <w:style w:type="paragraph" w:customStyle="1" w:styleId="Keywords">
    <w:name w:val="Keywords"/>
    <w:basedOn w:val="a"/>
    <w:autoRedefine/>
    <w:qFormat/>
    <w:rsid w:val="00C75E1D"/>
    <w:pPr>
      <w:ind w:firstLineChars="0" w:firstLine="0"/>
    </w:pPr>
    <w:rPr>
      <w:rFonts w:eastAsia="宋体"/>
      <w:b/>
      <w:noProof/>
    </w:rPr>
  </w:style>
  <w:style w:type="paragraph" w:customStyle="1" w:styleId="References">
    <w:name w:val="References"/>
    <w:basedOn w:val="a"/>
    <w:link w:val="References0"/>
    <w:autoRedefine/>
    <w:qFormat/>
    <w:rsid w:val="00C75E1D"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a0"/>
    <w:link w:val="References"/>
    <w:rsid w:val="00C75E1D"/>
    <w:rPr>
      <w:rFonts w:eastAsia="Times New Roman"/>
      <w:b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5E1D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af2">
    <w:name w:val="版权信息"/>
    <w:basedOn w:val="a"/>
    <w:autoRedefine/>
    <w:qFormat/>
    <w:rsid w:val="00C75E1D"/>
    <w:pPr>
      <w:ind w:firstLineChars="0" w:firstLine="0"/>
    </w:pPr>
  </w:style>
  <w:style w:type="character" w:customStyle="1" w:styleId="10">
    <w:name w:val="标题 1 字符"/>
    <w:aliases w:val="一级标题 字符"/>
    <w:link w:val="1"/>
    <w:uiPriority w:val="1"/>
    <w:rsid w:val="00C75E1D"/>
    <w:rPr>
      <w:rFonts w:eastAsia="Times New Roman" w:cs="Book Antiqua"/>
      <w:b/>
      <w:bCs/>
      <w:sz w:val="24"/>
    </w:rPr>
  </w:style>
  <w:style w:type="character" w:customStyle="1" w:styleId="20">
    <w:name w:val="标题 2 字符"/>
    <w:aliases w:val="二级标题 字符"/>
    <w:link w:val="2"/>
    <w:uiPriority w:val="9"/>
    <w:rsid w:val="00C75E1D"/>
    <w:rPr>
      <w:rFonts w:eastAsia="Times New Roman"/>
      <w:b/>
      <w:bCs/>
      <w:i/>
      <w:kern w:val="2"/>
      <w:sz w:val="22"/>
      <w:szCs w:val="21"/>
    </w:rPr>
  </w:style>
  <w:style w:type="character" w:customStyle="1" w:styleId="40">
    <w:name w:val="标题 4 字符"/>
    <w:link w:val="4"/>
    <w:uiPriority w:val="9"/>
    <w:rsid w:val="00C75E1D"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C75E1D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C75E1D"/>
    <w:rPr>
      <w:rFonts w:eastAsia="Times New Roman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C75E1D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C75E1D"/>
    <w:rPr>
      <w:rFonts w:asciiTheme="majorHAnsi" w:eastAsiaTheme="majorEastAsia" w:hAnsiTheme="majorHAnsi" w:cstheme="majorBidi"/>
      <w:kern w:val="2"/>
      <w:sz w:val="21"/>
      <w:szCs w:val="21"/>
    </w:rPr>
  </w:style>
  <w:style w:type="paragraph" w:customStyle="1" w:styleId="af3">
    <w:name w:val="表题"/>
    <w:basedOn w:val="a"/>
    <w:autoRedefine/>
    <w:qFormat/>
    <w:rsid w:val="00C75E1D"/>
    <w:pPr>
      <w:adjustRightInd w:val="0"/>
      <w:snapToGrid w:val="0"/>
      <w:spacing w:before="240" w:after="240" w:line="288" w:lineRule="auto"/>
      <w:ind w:leftChars="200" w:left="420" w:firstLineChars="0" w:firstLine="0"/>
      <w:jc w:val="center"/>
    </w:pPr>
    <w:rPr>
      <w:b/>
    </w:rPr>
  </w:style>
  <w:style w:type="paragraph" w:customStyle="1" w:styleId="af4">
    <w:name w:val="表注"/>
    <w:basedOn w:val="af3"/>
    <w:autoRedefine/>
    <w:qFormat/>
    <w:rsid w:val="00C75E1D"/>
    <w:pPr>
      <w:spacing w:before="0"/>
      <w:ind w:rightChars="200" w:right="420" w:firstLineChars="100" w:firstLine="210"/>
    </w:pPr>
    <w:rPr>
      <w:b w:val="0"/>
    </w:rPr>
  </w:style>
  <w:style w:type="paragraph" w:customStyle="1" w:styleId="af5">
    <w:name w:val="参考文献"/>
    <w:basedOn w:val="a"/>
    <w:autoRedefine/>
    <w:qFormat/>
    <w:rsid w:val="00C75E1D"/>
    <w:pPr>
      <w:ind w:left="360" w:hangingChars="200" w:hanging="360"/>
    </w:pPr>
    <w:rPr>
      <w:rFonts w:eastAsiaTheme="minorEastAsia" w:cstheme="minorBidi"/>
      <w:sz w:val="18"/>
      <w:szCs w:val="24"/>
    </w:rPr>
  </w:style>
  <w:style w:type="paragraph" w:customStyle="1" w:styleId="af6">
    <w:name w:val="稿件类型"/>
    <w:basedOn w:val="a"/>
    <w:autoRedefine/>
    <w:qFormat/>
    <w:rsid w:val="00C75E1D"/>
    <w:pPr>
      <w:ind w:firstLineChars="0" w:firstLine="0"/>
      <w:jc w:val="left"/>
    </w:pPr>
    <w:rPr>
      <w:rFonts w:eastAsia="宋体" w:cstheme="minorBidi"/>
      <w:i/>
      <w:sz w:val="20"/>
    </w:rPr>
  </w:style>
  <w:style w:type="paragraph" w:customStyle="1" w:styleId="af7">
    <w:name w:val="关键词"/>
    <w:basedOn w:val="Keywords"/>
    <w:autoRedefine/>
    <w:qFormat/>
    <w:rsid w:val="00C75E1D"/>
    <w:rPr>
      <w:rFonts w:eastAsia="Times New Roman"/>
      <w:b w:val="0"/>
    </w:rPr>
  </w:style>
  <w:style w:type="paragraph" w:customStyle="1" w:styleId="af8">
    <w:name w:val="机构信息"/>
    <w:basedOn w:val="a"/>
    <w:link w:val="af9"/>
    <w:autoRedefine/>
    <w:qFormat/>
    <w:rsid w:val="00C75E1D"/>
    <w:pPr>
      <w:ind w:firstLineChars="0" w:firstLine="0"/>
    </w:pPr>
    <w:rPr>
      <w:rFonts w:cstheme="minorBidi"/>
    </w:rPr>
  </w:style>
  <w:style w:type="character" w:customStyle="1" w:styleId="af9">
    <w:name w:val="机构信息 字符"/>
    <w:link w:val="af8"/>
    <w:rsid w:val="00C75E1D"/>
    <w:rPr>
      <w:rFonts w:eastAsia="Times New Roman" w:cstheme="minorBidi"/>
      <w:kern w:val="2"/>
      <w:sz w:val="21"/>
      <w:szCs w:val="21"/>
    </w:rPr>
  </w:style>
  <w:style w:type="paragraph" w:customStyle="1" w:styleId="afa">
    <w:name w:val="接收日期"/>
    <w:basedOn w:val="a"/>
    <w:autoRedefine/>
    <w:qFormat/>
    <w:rsid w:val="00C75E1D"/>
    <w:pPr>
      <w:ind w:firstLineChars="0" w:firstLine="0"/>
    </w:pPr>
  </w:style>
  <w:style w:type="paragraph" w:styleId="afb">
    <w:name w:val="caption"/>
    <w:basedOn w:val="a"/>
    <w:next w:val="a"/>
    <w:uiPriority w:val="35"/>
    <w:unhideWhenUsed/>
    <w:qFormat/>
    <w:rsid w:val="00C75E1D"/>
    <w:rPr>
      <w:rFonts w:ascii="等线 Light" w:eastAsia="黑体" w:hAnsi="等线 Light"/>
      <w:sz w:val="20"/>
      <w:szCs w:val="20"/>
    </w:rPr>
  </w:style>
  <w:style w:type="paragraph" w:customStyle="1" w:styleId="afc">
    <w:name w:val="通讯作者"/>
    <w:basedOn w:val="a"/>
    <w:autoRedefine/>
    <w:qFormat/>
    <w:rsid w:val="00C75E1D"/>
    <w:pPr>
      <w:ind w:firstLineChars="0" w:firstLine="0"/>
    </w:pPr>
  </w:style>
  <w:style w:type="paragraph" w:customStyle="1" w:styleId="afd">
    <w:name w:val="图注"/>
    <w:basedOn w:val="af4"/>
    <w:autoRedefine/>
    <w:qFormat/>
    <w:rsid w:val="00C75E1D"/>
    <w:pPr>
      <w:spacing w:beforeLines="100" w:before="100" w:after="100"/>
      <w:ind w:leftChars="0" w:left="0" w:right="200" w:firstLineChars="0" w:firstLine="0"/>
    </w:pPr>
  </w:style>
  <w:style w:type="table" w:customStyle="1" w:styleId="5-11">
    <w:name w:val="网格表 5 深色 - 着色 11"/>
    <w:basedOn w:val="a1"/>
    <w:uiPriority w:val="50"/>
    <w:qFormat/>
    <w:rsid w:val="00C75E1D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rsid w:val="00C75E1D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rsid w:val="00C75E1D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afe">
    <w:name w:val="文章标题"/>
    <w:basedOn w:val="a"/>
    <w:link w:val="aff"/>
    <w:autoRedefine/>
    <w:qFormat/>
    <w:rsid w:val="00C75E1D"/>
    <w:pPr>
      <w:kinsoku w:val="0"/>
      <w:overflowPunct w:val="0"/>
      <w:autoSpaceDE w:val="0"/>
      <w:autoSpaceDN w:val="0"/>
      <w:adjustRightInd w:val="0"/>
      <w:ind w:firstLineChars="0" w:firstLine="0"/>
    </w:pPr>
    <w:rPr>
      <w:rFonts w:cstheme="minorBidi"/>
      <w:b/>
      <w:bCs/>
      <w:spacing w:val="-8"/>
      <w:sz w:val="36"/>
      <w:szCs w:val="36"/>
    </w:rPr>
  </w:style>
  <w:style w:type="character" w:customStyle="1" w:styleId="aff">
    <w:name w:val="文章标题 字符"/>
    <w:link w:val="afe"/>
    <w:rsid w:val="00C75E1D"/>
    <w:rPr>
      <w:rFonts w:eastAsia="Times New Roman" w:cstheme="minorBidi"/>
      <w:b/>
      <w:bCs/>
      <w:spacing w:val="-8"/>
      <w:kern w:val="2"/>
      <w:sz w:val="36"/>
      <w:szCs w:val="36"/>
    </w:rPr>
  </w:style>
  <w:style w:type="numbering" w:customStyle="1" w:styleId="13">
    <w:name w:val="无列表1"/>
    <w:next w:val="a2"/>
    <w:uiPriority w:val="99"/>
    <w:semiHidden/>
    <w:unhideWhenUsed/>
    <w:rsid w:val="00C75E1D"/>
  </w:style>
  <w:style w:type="paragraph" w:customStyle="1" w:styleId="aff0">
    <w:name w:val="摘要"/>
    <w:basedOn w:val="Abstract"/>
    <w:autoRedefine/>
    <w:qFormat/>
    <w:rsid w:val="00C75E1D"/>
    <w:rPr>
      <w:b w:val="0"/>
      <w:sz w:val="21"/>
      <w:szCs w:val="21"/>
    </w:rPr>
  </w:style>
  <w:style w:type="paragraph" w:styleId="aff1">
    <w:name w:val="Body Text"/>
    <w:basedOn w:val="a"/>
    <w:link w:val="aff2"/>
    <w:autoRedefine/>
    <w:uiPriority w:val="1"/>
    <w:qFormat/>
    <w:rsid w:val="00C75E1D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f2">
    <w:name w:val="正文文本 字符"/>
    <w:link w:val="aff1"/>
    <w:uiPriority w:val="1"/>
    <w:rsid w:val="00C75E1D"/>
    <w:rPr>
      <w:rFonts w:eastAsia="Times New Roman"/>
      <w:sz w:val="21"/>
      <w:szCs w:val="21"/>
    </w:rPr>
  </w:style>
  <w:style w:type="paragraph" w:customStyle="1" w:styleId="aff3">
    <w:name w:val="致谢部分"/>
    <w:basedOn w:val="aff1"/>
    <w:link w:val="aff4"/>
    <w:autoRedefine/>
    <w:qFormat/>
    <w:rsid w:val="00C75E1D"/>
    <w:pPr>
      <w:ind w:firstLineChars="0" w:firstLine="0"/>
    </w:pPr>
    <w:rPr>
      <w:b/>
      <w:sz w:val="24"/>
      <w:szCs w:val="24"/>
    </w:rPr>
  </w:style>
  <w:style w:type="character" w:customStyle="1" w:styleId="aff4">
    <w:name w:val="致谢部分 字符"/>
    <w:basedOn w:val="aff2"/>
    <w:link w:val="aff3"/>
    <w:rsid w:val="00C75E1D"/>
    <w:rPr>
      <w:rFonts w:eastAsia="Times New Roman"/>
      <w:b/>
      <w:sz w:val="24"/>
      <w:szCs w:val="24"/>
    </w:rPr>
  </w:style>
  <w:style w:type="paragraph" w:customStyle="1" w:styleId="aff5">
    <w:name w:val="作者信息"/>
    <w:basedOn w:val="a"/>
    <w:autoRedefine/>
    <w:qFormat/>
    <w:rsid w:val="00C75E1D"/>
    <w:pPr>
      <w:ind w:firstLineChars="0" w:firstLine="0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tiff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tif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tiff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6.tif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067838-E253-459B-888A-83D3CAA3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leafture</dc:creator>
  <dc:description>NE.Bib</dc:description>
  <cp:lastModifiedBy>ann</cp:lastModifiedBy>
  <cp:revision>22</cp:revision>
  <dcterms:created xsi:type="dcterms:W3CDTF">2021-01-28T13:19:00Z</dcterms:created>
  <dcterms:modified xsi:type="dcterms:W3CDTF">2022-05-18T08:37:00Z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ZOTERO_PREF_1">
    <vt:lpwstr>&lt;data data-version="3" zotero-version="5.0.96.3"&gt;&lt;session id="2dRPYl9p"/&gt;&lt;style id="http://www.zotero.org/styles/journal-of-the-american-heart-association" hasBibliography="1" bibliographyStyleHasBeenSet="1"/&gt;&lt;prefs&gt;&lt;pref name="fieldType" value="Field"/&gt;&lt;</vt:lpwstr>
  </property>
  <property fmtid="{D5CDD505-2E9C-101B-9397-08002B2CF9AE}" pid="4" name="ZOTERO_PREF_2">
    <vt:lpwstr>/prefs&gt;&lt;/data&gt;</vt:lpwstr>
  </property>
  <property fmtid="{D5CDD505-2E9C-101B-9397-08002B2CF9AE}" pid="5" name="ICV">
    <vt:lpwstr>7CC67F16EBBE4CCD80766F23FF862249</vt:lpwstr>
  </property>
</Properties>
</file>